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09" w:rsidRPr="00532D09" w:rsidRDefault="00532D09" w:rsidP="00532D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32D09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здравоохранения РФ от 21 марта 2014 г. N 125н</w:t>
      </w:r>
      <w:r w:rsidRPr="00532D09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32D09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532D09">
          <w:rPr>
            <w:rFonts w:ascii="Arial" w:hAnsi="Arial" w:cs="Arial"/>
            <w:color w:val="106BBE"/>
            <w:sz w:val="24"/>
            <w:szCs w:val="24"/>
          </w:rPr>
          <w:t>статьями 9</w:t>
        </w:r>
      </w:hyperlink>
      <w:r w:rsidRPr="00532D09">
        <w:rPr>
          <w:rFonts w:ascii="Arial" w:hAnsi="Arial" w:cs="Arial"/>
          <w:sz w:val="24"/>
          <w:szCs w:val="24"/>
        </w:rPr>
        <w:t xml:space="preserve"> и </w:t>
      </w:r>
      <w:hyperlink r:id="rId5" w:history="1">
        <w:r w:rsidRPr="00532D09">
          <w:rPr>
            <w:rFonts w:ascii="Arial" w:hAnsi="Arial" w:cs="Arial"/>
            <w:color w:val="106BBE"/>
            <w:sz w:val="24"/>
            <w:szCs w:val="24"/>
          </w:rPr>
          <w:t>10</w:t>
        </w:r>
      </w:hyperlink>
      <w:r w:rsidRPr="00532D09">
        <w:rPr>
          <w:rFonts w:ascii="Arial" w:hAnsi="Arial" w:cs="Arial"/>
          <w:sz w:val="24"/>
          <w:szCs w:val="24"/>
        </w:rPr>
        <w:t xml:space="preserve"> Федерального закона от 17 сентября 1998 г. N 157-ФЗ "Об иммунопрофилактике инфекционных болезней" (Собрание законодательства Российской Федерации, 1998, N 38, ст. 4736; 2000, N 33, ст. 3348; 2003, N 2, ст. 167; 2004, N 35, ст. 3607; 2005, N 1, ст. 25; 2006, N 27, ст. 2879;</w:t>
      </w:r>
      <w:proofErr w:type="gramEnd"/>
      <w:r w:rsidRPr="00532D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2D09">
        <w:rPr>
          <w:rFonts w:ascii="Arial" w:hAnsi="Arial" w:cs="Arial"/>
          <w:sz w:val="24"/>
          <w:szCs w:val="24"/>
        </w:rPr>
        <w:t>2007, N 43, ст. 5084; N 49, ст. 6070; 2008, N 30, ст. 3616; N 52, ст. 6236; 2009, N 1, ст. 21; N 30, ст. 3739; 2010, N 50, ст. 6599; 2011, N 30, ст. 4590; 2012, N 53, ст. 7589; 2013, N 19, ст. 2331; N 27, ст. 3477;</w:t>
      </w:r>
      <w:proofErr w:type="gramEnd"/>
      <w:r w:rsidRPr="00532D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2D09">
        <w:rPr>
          <w:rFonts w:ascii="Arial" w:hAnsi="Arial" w:cs="Arial"/>
          <w:sz w:val="24"/>
          <w:szCs w:val="24"/>
        </w:rPr>
        <w:t>N 48, ст. 6165; N 51, ст. 6688) приказываю:</w:t>
      </w:r>
      <w:proofErr w:type="gramEnd"/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D09">
        <w:rPr>
          <w:rFonts w:ascii="Arial" w:hAnsi="Arial" w:cs="Arial"/>
          <w:sz w:val="24"/>
          <w:szCs w:val="24"/>
        </w:rPr>
        <w:t>Утвердить: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D09">
        <w:rPr>
          <w:rFonts w:ascii="Arial" w:hAnsi="Arial" w:cs="Arial"/>
          <w:sz w:val="24"/>
          <w:szCs w:val="24"/>
        </w:rPr>
        <w:t xml:space="preserve">национальный календарь профилактических прививок согласно </w:t>
      </w:r>
      <w:hyperlink w:anchor="sub_1000" w:history="1">
        <w:r w:rsidRPr="00532D09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532D09">
        <w:rPr>
          <w:rFonts w:ascii="Arial" w:hAnsi="Arial" w:cs="Arial"/>
          <w:sz w:val="24"/>
          <w:szCs w:val="24"/>
        </w:rPr>
        <w:t>;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D09">
        <w:rPr>
          <w:rFonts w:ascii="Arial" w:hAnsi="Arial" w:cs="Arial"/>
          <w:sz w:val="24"/>
          <w:szCs w:val="24"/>
        </w:rPr>
        <w:t xml:space="preserve">календарь профилактических прививок по эпидемическим показаниям согласно </w:t>
      </w:r>
      <w:hyperlink w:anchor="sub_2000" w:history="1">
        <w:r w:rsidRPr="00532D09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532D09">
        <w:rPr>
          <w:rFonts w:ascii="Arial" w:hAnsi="Arial" w:cs="Arial"/>
          <w:sz w:val="24"/>
          <w:szCs w:val="24"/>
        </w:rPr>
        <w:t>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В.И. Скворцова</w:t>
            </w:r>
          </w:p>
        </w:tc>
      </w:tr>
    </w:tbl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2D09">
        <w:rPr>
          <w:rFonts w:ascii="Arial" w:hAnsi="Arial" w:cs="Arial"/>
          <w:sz w:val="24"/>
          <w:szCs w:val="24"/>
        </w:rPr>
        <w:t>Зарегистрировано в Минюсте РФ 25 апреля 2014 г.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2D09">
        <w:rPr>
          <w:rFonts w:ascii="Arial" w:hAnsi="Arial" w:cs="Arial"/>
          <w:sz w:val="24"/>
          <w:szCs w:val="24"/>
        </w:rPr>
        <w:t>Регистрационный N 32115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1000"/>
      <w:r w:rsidRPr="00532D09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532D0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532D09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532D09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здравоохранения РФ</w:t>
      </w:r>
      <w:r w:rsidRPr="00532D09">
        <w:rPr>
          <w:rFonts w:ascii="Arial" w:hAnsi="Arial" w:cs="Arial"/>
          <w:b/>
          <w:bCs/>
          <w:color w:val="26282F"/>
          <w:sz w:val="24"/>
          <w:szCs w:val="24"/>
        </w:rPr>
        <w:br/>
        <w:t>от 21 марта 2014 г. N 125н</w:t>
      </w:r>
    </w:p>
    <w:bookmarkEnd w:id="0"/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32D09">
        <w:rPr>
          <w:rFonts w:ascii="Arial" w:hAnsi="Arial" w:cs="Arial"/>
          <w:b/>
          <w:bCs/>
          <w:color w:val="26282F"/>
          <w:sz w:val="24"/>
          <w:szCs w:val="24"/>
        </w:rPr>
        <w:t>Национальный календарь профилактических прививок</w:t>
      </w:r>
    </w:p>
    <w:p w:rsidR="00532D09" w:rsidRPr="00532D09" w:rsidRDefault="00532D09" w:rsidP="00532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32D09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532D09" w:rsidRPr="00532D09" w:rsidRDefault="00532D09" w:rsidP="00532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1" w:name="sub_499259360"/>
      <w:r w:rsidRPr="00532D09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6" w:history="1">
        <w:r w:rsidRPr="00532D09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Порядок</w:t>
        </w:r>
      </w:hyperlink>
      <w:r w:rsidRPr="00532D09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проведения профилактических прививок согласно национальному календарю профилактических прививок, приведенный в </w:t>
      </w:r>
      <w:hyperlink r:id="rId7" w:history="1">
        <w:r w:rsidRPr="00532D09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МУ 3.3.1889-04</w:t>
        </w:r>
      </w:hyperlink>
      <w:r w:rsidRPr="00532D09">
        <w:rPr>
          <w:rFonts w:ascii="Arial" w:hAnsi="Arial" w:cs="Arial"/>
          <w:color w:val="353842"/>
          <w:sz w:val="24"/>
          <w:szCs w:val="24"/>
          <w:shd w:val="clear" w:color="auto" w:fill="F0F0F0"/>
        </w:rPr>
        <w:t>, утвержденных Главным государственным санитарным врачом РФ 4 марта 2004 г.</w:t>
      </w:r>
    </w:p>
    <w:bookmarkEnd w:id="1"/>
    <w:p w:rsidR="00532D09" w:rsidRPr="00532D09" w:rsidRDefault="00532D09" w:rsidP="00532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532D09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8" w:history="1">
        <w:r w:rsidRPr="00532D09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Методические указания</w:t>
        </w:r>
      </w:hyperlink>
      <w:r w:rsidRPr="00532D09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МУ 3.3.1.1095-02 "Медицинские противопоказания к проведению профилактических прививок препаратами национального календаря прививок", утвержденные Главным государственным санитарным врачом РФ от 9 января 2002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77"/>
        <w:gridCol w:w="21"/>
        <w:gridCol w:w="6385"/>
        <w:gridCol w:w="7"/>
        <w:gridCol w:w="11"/>
        <w:gridCol w:w="25"/>
      </w:tblGrid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Наименование профилактической прививки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Новорожденные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>в первые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t xml:space="preserve"> 24 часа жизни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Первая вакцинация против вирусного гепатита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32D09">
              <w:rPr>
                <w:rFonts w:ascii="Arial" w:hAnsi="Arial" w:cs="Arial"/>
                <w:sz w:val="24"/>
                <w:szCs w:val="24"/>
              </w:rPr>
              <w:instrText>HYPERLINK \l "sub_10001"</w:instrText>
            </w:r>
            <w:r w:rsidRPr="00532D09">
              <w:rPr>
                <w:rFonts w:ascii="Arial" w:hAnsi="Arial" w:cs="Arial"/>
                <w:sz w:val="24"/>
                <w:szCs w:val="24"/>
              </w:rPr>
            </w:r>
            <w:r w:rsidRPr="00532D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2D09">
              <w:rPr>
                <w:rFonts w:ascii="Arial" w:hAnsi="Arial" w:cs="Arial"/>
                <w:color w:val="106BBE"/>
                <w:sz w:val="24"/>
                <w:szCs w:val="24"/>
              </w:rPr>
              <w:t>*(1)</w:t>
            </w:r>
            <w:r w:rsidRPr="00532D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Новорожденные на 3-7 день жизни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Вакцинация против туберкулеза</w:t>
            </w:r>
            <w:hyperlink w:anchor="sub_10002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1 месяц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Вторая вакцинация против вирусного гепатита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32D09">
              <w:rPr>
                <w:rFonts w:ascii="Arial" w:hAnsi="Arial" w:cs="Arial"/>
                <w:sz w:val="24"/>
                <w:szCs w:val="24"/>
              </w:rPr>
              <w:instrText>HYPERLINK \l "sub_10001"</w:instrText>
            </w:r>
            <w:r w:rsidRPr="00532D09">
              <w:rPr>
                <w:rFonts w:ascii="Arial" w:hAnsi="Arial" w:cs="Arial"/>
                <w:sz w:val="24"/>
                <w:szCs w:val="24"/>
              </w:rPr>
            </w:r>
            <w:r w:rsidRPr="00532D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2D09">
              <w:rPr>
                <w:rFonts w:ascii="Arial" w:hAnsi="Arial" w:cs="Arial"/>
                <w:color w:val="106BBE"/>
                <w:sz w:val="24"/>
                <w:szCs w:val="24"/>
              </w:rPr>
              <w:t>*(1)</w:t>
            </w:r>
            <w:r w:rsidRPr="00532D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2 месяца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t xml:space="preserve"> (группы риска)</w:t>
            </w:r>
            <w:hyperlink w:anchor="sub_10003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Первая вакцинация против пневмококковой инфекции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3 месяца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Первая вакцинация против полиомиелита</w:t>
            </w:r>
            <w:hyperlink w:anchor="sub_10004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*(4)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Первая вакцинация против гемофильной инфекции (группы риска)</w:t>
            </w:r>
            <w:hyperlink w:anchor="sub_10005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*(5)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4,5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Вторая вакцинация против гемофильной инфекции (группы риска)</w:t>
            </w:r>
            <w:hyperlink w:anchor="sub_10005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*(5)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Вторая вакцинация против полиомиелита</w:t>
            </w:r>
            <w:hyperlink w:anchor="sub_10004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*(4)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Вторая вакцинация против пневмококковой инфекции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6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32D09">
              <w:rPr>
                <w:rFonts w:ascii="Arial" w:hAnsi="Arial" w:cs="Arial"/>
                <w:sz w:val="24"/>
                <w:szCs w:val="24"/>
              </w:rPr>
              <w:instrText>HYPERLINK \l "sub_10001"</w:instrText>
            </w:r>
            <w:r w:rsidRPr="00532D09">
              <w:rPr>
                <w:rFonts w:ascii="Arial" w:hAnsi="Arial" w:cs="Arial"/>
                <w:sz w:val="24"/>
                <w:szCs w:val="24"/>
              </w:rPr>
            </w:r>
            <w:r w:rsidRPr="00532D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2D09">
              <w:rPr>
                <w:rFonts w:ascii="Arial" w:hAnsi="Arial" w:cs="Arial"/>
                <w:color w:val="106BBE"/>
                <w:sz w:val="24"/>
                <w:szCs w:val="24"/>
              </w:rPr>
              <w:t>*(1)</w:t>
            </w:r>
            <w:r w:rsidRPr="00532D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Третья вакцинация против полиомиелита</w:t>
            </w:r>
            <w:hyperlink w:anchor="sub_10006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*(6)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Третья вакцинация против гемофильной инфекции (группа риска)</w:t>
            </w:r>
            <w:hyperlink w:anchor="sub_10005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*(5)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12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Вакцинация против кори, краснухи, эпидемического паротита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Четвертая вакцинация против вирусного гепатита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t xml:space="preserve"> (группы риска)</w:t>
            </w:r>
            <w:hyperlink w:anchor="sub_10003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15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Ревакцинация против пневмококковой инфекции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18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Первая ревакцинация против полиомиелита</w:t>
            </w:r>
            <w:hyperlink w:anchor="sub_10006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*(6)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Первая ревакцинация против дифтерии, коклюша, столбняка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Ревакцинация против гемофильной инфекции (группы риска)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20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Вторая ревакцинация против полиомиелита</w:t>
            </w:r>
            <w:hyperlink w:anchor="sub_10006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*(6)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6 лет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Ревакцинация против кори, краснухи, эпидемического паротита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6-7 лет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Вторая ревакцинация против дифтерии, столбняка</w:t>
            </w:r>
            <w:hyperlink w:anchor="sub_10007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*(7)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Ревакцинация против туберкулеза</w:t>
            </w:r>
            <w:hyperlink w:anchor="sub_10008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*(8)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14 лет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Третья ревакцинация против дифтерии, столбняка</w:t>
            </w:r>
            <w:hyperlink w:anchor="sub_10007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*(7)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Третья ревакцинация против полиомиелита</w:t>
            </w:r>
            <w:hyperlink w:anchor="sub_10006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*(6)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Взрослые от 18 лет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от 1 года до 18 лет, взрослые от 18 до 55 лет, не привитые ранее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Вакцинация против вирусного гепатита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32D09">
              <w:rPr>
                <w:rFonts w:ascii="Arial" w:hAnsi="Arial" w:cs="Arial"/>
                <w:sz w:val="24"/>
                <w:szCs w:val="24"/>
              </w:rPr>
              <w:instrText>HYPERLINK \l "sub_10009"</w:instrText>
            </w:r>
            <w:r w:rsidRPr="00532D09">
              <w:rPr>
                <w:rFonts w:ascii="Arial" w:hAnsi="Arial" w:cs="Arial"/>
                <w:sz w:val="24"/>
                <w:szCs w:val="24"/>
              </w:rPr>
            </w:r>
            <w:r w:rsidRPr="00532D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2D09">
              <w:rPr>
                <w:rFonts w:ascii="Arial" w:hAnsi="Arial" w:cs="Arial"/>
                <w:color w:val="106BBE"/>
                <w:sz w:val="24"/>
                <w:szCs w:val="24"/>
              </w:rPr>
              <w:t>*(9)</w:t>
            </w:r>
            <w:r w:rsidRPr="00532D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Вакцинация против краснухи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Дети от 1 года до 18 лет включительно и взрослые в возрасте до 35 лет (включительно), не болевшие, не привитые, привитые однократно, не имеющие </w:t>
            </w:r>
            <w:r w:rsidRPr="00532D09">
              <w:rPr>
                <w:rFonts w:ascii="Arial" w:hAnsi="Arial" w:cs="Arial"/>
                <w:sz w:val="24"/>
                <w:szCs w:val="24"/>
              </w:rPr>
              <w:lastRenderedPageBreak/>
              <w:t>сведений о прививках против кори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lastRenderedPageBreak/>
              <w:t>Вакцинация против кори</w:t>
            </w:r>
            <w:hyperlink w:anchor="sub_10010" w:history="1">
              <w:r w:rsidRPr="00532D09">
                <w:rPr>
                  <w:rFonts w:ascii="Arial" w:hAnsi="Arial" w:cs="Arial"/>
                  <w:color w:val="106BBE"/>
                  <w:sz w:val="24"/>
                  <w:szCs w:val="24"/>
                </w:rPr>
                <w:t>*(10)</w:t>
              </w:r>
            </w:hyperlink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lastRenderedPageBreak/>
              <w:t>Дети с 6 месяцев, учащиеся 1-11 классов;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>обучающиеся в профессиональных образовательных организациях и образовательных организациях высшего образования;</w:t>
            </w:r>
            <w:proofErr w:type="gramEnd"/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беременные женщины;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взрослые старше 60 лет;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подлежащие призыву на военную службу;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лица с хроническими заболеваниями, в том числе с заболеваниями легких, </w:t>
            </w:r>
            <w:proofErr w:type="spellStart"/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Вакцинация против гриппа</w:t>
            </w:r>
          </w:p>
        </w:tc>
      </w:tr>
    </w:tbl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2D09">
        <w:rPr>
          <w:rFonts w:ascii="Courier New" w:hAnsi="Courier New" w:cs="Courier New"/>
        </w:rPr>
        <w:t>______________________________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01"/>
      <w:r w:rsidRPr="00532D09">
        <w:rPr>
          <w:rFonts w:ascii="Arial" w:hAnsi="Arial" w:cs="Arial"/>
          <w:sz w:val="24"/>
          <w:szCs w:val="24"/>
        </w:rPr>
        <w:t>*(1)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</w:t>
      </w:r>
      <w:proofErr w:type="gramStart"/>
      <w:r w:rsidRPr="00532D0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532D09">
        <w:rPr>
          <w:rFonts w:ascii="Arial" w:hAnsi="Arial" w:cs="Arial"/>
          <w:sz w:val="24"/>
          <w:szCs w:val="24"/>
        </w:rPr>
        <w:t xml:space="preserve">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02"/>
      <w:bookmarkEnd w:id="2"/>
      <w:r w:rsidRPr="00532D09">
        <w:rPr>
          <w:rFonts w:ascii="Arial" w:hAnsi="Arial" w:cs="Arial"/>
          <w:sz w:val="24"/>
          <w:szCs w:val="24"/>
        </w:rPr>
        <w:t>*(2)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03"/>
      <w:bookmarkEnd w:id="3"/>
      <w:r w:rsidRPr="00532D09">
        <w:rPr>
          <w:rFonts w:ascii="Arial" w:hAnsi="Arial" w:cs="Arial"/>
          <w:sz w:val="24"/>
          <w:szCs w:val="24"/>
        </w:rPr>
        <w:t>*(3) Вакцинация проводится детям, относящимся к группам риска (родившимся от матерей носителей HBsAg, больных вирусным гепатитом</w:t>
      </w:r>
      <w:proofErr w:type="gramStart"/>
      <w:r w:rsidRPr="00532D0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532D09">
        <w:rPr>
          <w:rFonts w:ascii="Arial" w:hAnsi="Arial" w:cs="Arial"/>
          <w:sz w:val="24"/>
          <w:szCs w:val="24"/>
        </w:rPr>
        <w:t xml:space="preserve"> или перенесших вирусный гепатит В </w:t>
      </w:r>
      <w:proofErr w:type="spellStart"/>
      <w:r w:rsidRPr="00532D09">
        <w:rPr>
          <w:rFonts w:ascii="Arial" w:hAnsi="Arial" w:cs="Arial"/>
          <w:sz w:val="24"/>
          <w:szCs w:val="24"/>
        </w:rPr>
        <w:t>в</w:t>
      </w:r>
      <w:proofErr w:type="spellEnd"/>
      <w:r w:rsidRPr="00532D09">
        <w:rPr>
          <w:rFonts w:ascii="Arial" w:hAnsi="Arial" w:cs="Arial"/>
          <w:sz w:val="24"/>
          <w:szCs w:val="24"/>
        </w:rPr>
        <w:t xml:space="preserve"> третьем триместре беременности, не имеющих результатов обследования на маркеры гепатита В, потребляющих наркотические средства или психотропные вещества, из семей, в которых есть носитель HBsAg или больной острым вирусным гепатитом В и хроническими вирусными гепатитами).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04"/>
      <w:bookmarkEnd w:id="4"/>
      <w:r w:rsidRPr="00532D09">
        <w:rPr>
          <w:rFonts w:ascii="Arial" w:hAnsi="Arial" w:cs="Arial"/>
          <w:sz w:val="24"/>
          <w:szCs w:val="24"/>
        </w:rPr>
        <w:t>*(4) Первая и вторая вакцинации проводятся вакциной для профилактики полиомиелита (инактивированной).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05"/>
      <w:bookmarkEnd w:id="5"/>
      <w:r w:rsidRPr="00532D09">
        <w:rPr>
          <w:rFonts w:ascii="Arial" w:hAnsi="Arial" w:cs="Arial"/>
          <w:sz w:val="24"/>
          <w:szCs w:val="24"/>
        </w:rPr>
        <w:lastRenderedPageBreak/>
        <w:t xml:space="preserve">*(5) Вакцинация проводится детям, относящимся к группам риска (с </w:t>
      </w:r>
      <w:proofErr w:type="spellStart"/>
      <w:r w:rsidRPr="00532D09">
        <w:rPr>
          <w:rFonts w:ascii="Arial" w:hAnsi="Arial" w:cs="Arial"/>
          <w:sz w:val="24"/>
          <w:szCs w:val="24"/>
        </w:rPr>
        <w:t>иммунодефицитными</w:t>
      </w:r>
      <w:proofErr w:type="spellEnd"/>
      <w:r w:rsidRPr="00532D09">
        <w:rPr>
          <w:rFonts w:ascii="Arial" w:hAnsi="Arial" w:cs="Arial"/>
          <w:sz w:val="24"/>
          <w:szCs w:val="24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</w:t>
      </w:r>
      <w:proofErr w:type="spellStart"/>
      <w:r w:rsidRPr="00532D09">
        <w:rPr>
          <w:rFonts w:ascii="Arial" w:hAnsi="Arial" w:cs="Arial"/>
          <w:sz w:val="24"/>
          <w:szCs w:val="24"/>
        </w:rPr>
        <w:t>онкогематологическими</w:t>
      </w:r>
      <w:proofErr w:type="spellEnd"/>
      <w:r w:rsidRPr="00532D09">
        <w:rPr>
          <w:rFonts w:ascii="Arial" w:hAnsi="Arial" w:cs="Arial"/>
          <w:sz w:val="24"/>
          <w:szCs w:val="24"/>
        </w:rPr>
        <w:t xml:space="preserve"> заболеваниями и/или длительно получающим </w:t>
      </w:r>
      <w:proofErr w:type="spellStart"/>
      <w:r w:rsidRPr="00532D09">
        <w:rPr>
          <w:rFonts w:ascii="Arial" w:hAnsi="Arial" w:cs="Arial"/>
          <w:sz w:val="24"/>
          <w:szCs w:val="24"/>
        </w:rPr>
        <w:t>иммуносупрессивную</w:t>
      </w:r>
      <w:proofErr w:type="spellEnd"/>
      <w:r w:rsidRPr="00532D09">
        <w:rPr>
          <w:rFonts w:ascii="Arial" w:hAnsi="Arial" w:cs="Arial"/>
          <w:sz w:val="24"/>
          <w:szCs w:val="24"/>
        </w:rPr>
        <w:t xml:space="preserve"> терапию; детям, рожденным от матерей с ВИЧ-инфекцией; детям с ВИЧ-инфекцией; детям, находящимся в домах ребенка).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06"/>
      <w:bookmarkEnd w:id="6"/>
      <w:r w:rsidRPr="00532D09">
        <w:rPr>
          <w:rFonts w:ascii="Arial" w:hAnsi="Arial" w:cs="Arial"/>
          <w:sz w:val="24"/>
          <w:szCs w:val="24"/>
        </w:rPr>
        <w:t>*(6) Третья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детям, находящимся в домах ребенка - вакциной для профилактики полиомиелита (инактивированной).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07"/>
      <w:bookmarkEnd w:id="7"/>
      <w:r w:rsidRPr="00532D09">
        <w:rPr>
          <w:rFonts w:ascii="Arial" w:hAnsi="Arial" w:cs="Arial"/>
          <w:sz w:val="24"/>
          <w:szCs w:val="24"/>
        </w:rPr>
        <w:t>*(7) Вторая ревакцинация проводится анатоксинами с уменьшенным содержанием антигенов.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08"/>
      <w:bookmarkEnd w:id="8"/>
      <w:r w:rsidRPr="00532D09">
        <w:rPr>
          <w:rFonts w:ascii="Arial" w:hAnsi="Arial" w:cs="Arial"/>
          <w:sz w:val="24"/>
          <w:szCs w:val="24"/>
        </w:rPr>
        <w:t>*(8) Ревакцинация проводится вакциной для профилактики туберкулеза (БЦЖ).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09"/>
      <w:bookmarkEnd w:id="9"/>
      <w:r w:rsidRPr="00532D09">
        <w:rPr>
          <w:rFonts w:ascii="Arial" w:hAnsi="Arial" w:cs="Arial"/>
          <w:sz w:val="24"/>
          <w:szCs w:val="24"/>
        </w:rPr>
        <w:t>*(9) Вакцинация проводится детям и взрослым, ранее не привитым против вирусного гепатита</w:t>
      </w:r>
      <w:proofErr w:type="gramStart"/>
      <w:r w:rsidRPr="00532D0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532D09">
        <w:rPr>
          <w:rFonts w:ascii="Arial" w:hAnsi="Arial" w:cs="Arial"/>
          <w:sz w:val="24"/>
          <w:szCs w:val="24"/>
        </w:rPr>
        <w:t>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10"/>
      <w:bookmarkEnd w:id="10"/>
      <w:r w:rsidRPr="00532D09">
        <w:rPr>
          <w:rFonts w:ascii="Arial" w:hAnsi="Arial" w:cs="Arial"/>
          <w:sz w:val="24"/>
          <w:szCs w:val="24"/>
        </w:rPr>
        <w:t>*(10) Интервал между первой и второй прививками должен составлять не менее 3 месяцев.</w:t>
      </w:r>
    </w:p>
    <w:bookmarkEnd w:id="11"/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" w:name="sub_1100"/>
      <w:r w:rsidRPr="00532D09">
        <w:rPr>
          <w:rFonts w:ascii="Arial" w:hAnsi="Arial" w:cs="Arial"/>
          <w:b/>
          <w:bCs/>
          <w:color w:val="26282F"/>
          <w:sz w:val="24"/>
          <w:szCs w:val="24"/>
        </w:rPr>
        <w:t>Порядок проведения гражданам профилактических прививок в рамках национального календаря профилактических прививок</w:t>
      </w:r>
    </w:p>
    <w:bookmarkEnd w:id="12"/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01"/>
      <w:r w:rsidRPr="00532D09">
        <w:rPr>
          <w:rFonts w:ascii="Arial" w:hAnsi="Arial" w:cs="Arial"/>
          <w:sz w:val="24"/>
          <w:szCs w:val="24"/>
        </w:rP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102"/>
      <w:bookmarkEnd w:id="13"/>
      <w:r w:rsidRPr="00532D09">
        <w:rPr>
          <w:rFonts w:ascii="Arial" w:hAnsi="Arial" w:cs="Arial"/>
          <w:sz w:val="24"/>
          <w:szCs w:val="24"/>
        </w:rPr>
        <w:t xml:space="preserve">2. Вакцинацию осуществляют медицинские работники, прошедшие </w:t>
      </w:r>
      <w:proofErr w:type="gramStart"/>
      <w:r w:rsidRPr="00532D09">
        <w:rPr>
          <w:rFonts w:ascii="Arial" w:hAnsi="Arial" w:cs="Arial"/>
          <w:sz w:val="24"/>
          <w:szCs w:val="24"/>
        </w:rPr>
        <w:t>обучение по вопросам</w:t>
      </w:r>
      <w:proofErr w:type="gramEnd"/>
      <w:r w:rsidRPr="00532D09">
        <w:rPr>
          <w:rFonts w:ascii="Arial" w:hAnsi="Arial" w:cs="Arial"/>
          <w:sz w:val="24"/>
          <w:szCs w:val="24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103"/>
      <w:bookmarkEnd w:id="14"/>
      <w:r w:rsidRPr="00532D09">
        <w:rPr>
          <w:rFonts w:ascii="Arial" w:hAnsi="Arial" w:cs="Arial"/>
          <w:sz w:val="24"/>
          <w:szCs w:val="24"/>
        </w:rPr>
        <w:t xml:space="preserve"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</w:t>
      </w:r>
      <w:hyperlink r:id="rId9" w:history="1">
        <w:r w:rsidRPr="00532D09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532D09">
        <w:rPr>
          <w:rFonts w:ascii="Arial" w:hAnsi="Arial" w:cs="Arial"/>
          <w:sz w:val="24"/>
          <w:szCs w:val="24"/>
        </w:rPr>
        <w:t xml:space="preserve"> Российской Федерации, согласно инструкциям по их применению.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04"/>
      <w:bookmarkEnd w:id="15"/>
      <w:r w:rsidRPr="00532D0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32D09">
        <w:rPr>
          <w:rFonts w:ascii="Arial" w:hAnsi="Arial" w:cs="Arial"/>
          <w:sz w:val="24"/>
          <w:szCs w:val="24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532D09">
        <w:rPr>
          <w:rFonts w:ascii="Arial" w:hAnsi="Arial" w:cs="Arial"/>
          <w:sz w:val="24"/>
          <w:szCs w:val="24"/>
        </w:rPr>
        <w:t>поствакцинальные</w:t>
      </w:r>
      <w:proofErr w:type="spellEnd"/>
      <w:r w:rsidRPr="00532D09">
        <w:rPr>
          <w:rFonts w:ascii="Arial" w:hAnsi="Arial" w:cs="Arial"/>
          <w:sz w:val="24"/>
          <w:szCs w:val="24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0" w:history="1">
        <w:r w:rsidRPr="00532D09">
          <w:rPr>
            <w:rFonts w:ascii="Arial" w:hAnsi="Arial" w:cs="Arial"/>
            <w:color w:val="106BBE"/>
            <w:sz w:val="24"/>
            <w:szCs w:val="24"/>
          </w:rPr>
          <w:t>статьи 20</w:t>
        </w:r>
      </w:hyperlink>
      <w:r w:rsidRPr="00532D09">
        <w:rPr>
          <w:rFonts w:ascii="Arial" w:hAnsi="Arial" w:cs="Arial"/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</w:t>
      </w:r>
      <w:proofErr w:type="gramEnd"/>
      <w:r w:rsidRPr="00532D09">
        <w:rPr>
          <w:rFonts w:ascii="Arial" w:hAnsi="Arial" w:cs="Arial"/>
          <w:sz w:val="24"/>
          <w:szCs w:val="24"/>
        </w:rPr>
        <w:t>"</w:t>
      </w:r>
      <w:hyperlink w:anchor="sub_11111" w:history="1">
        <w:r w:rsidRPr="00532D09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532D09">
        <w:rPr>
          <w:rFonts w:ascii="Arial" w:hAnsi="Arial" w:cs="Arial"/>
          <w:sz w:val="24"/>
          <w:szCs w:val="24"/>
        </w:rPr>
        <w:t>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05"/>
      <w:bookmarkEnd w:id="16"/>
      <w:r w:rsidRPr="00532D09">
        <w:rPr>
          <w:rFonts w:ascii="Arial" w:hAnsi="Arial" w:cs="Arial"/>
          <w:sz w:val="24"/>
          <w:szCs w:val="24"/>
        </w:rPr>
        <w:t>5. Все лица, которым должны проводиться профилактические прививки, предварительно подвергаются осмотру врачом (фельдшером)</w:t>
      </w:r>
      <w:hyperlink w:anchor="sub_22222" w:history="1">
        <w:r w:rsidRPr="00532D09">
          <w:rPr>
            <w:rFonts w:ascii="Arial" w:hAnsi="Arial" w:cs="Arial"/>
            <w:color w:val="106BBE"/>
            <w:sz w:val="24"/>
            <w:szCs w:val="24"/>
          </w:rPr>
          <w:t>**</w:t>
        </w:r>
      </w:hyperlink>
      <w:r w:rsidRPr="00532D09">
        <w:rPr>
          <w:rFonts w:ascii="Arial" w:hAnsi="Arial" w:cs="Arial"/>
          <w:sz w:val="24"/>
          <w:szCs w:val="24"/>
        </w:rPr>
        <w:t>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106"/>
      <w:bookmarkEnd w:id="17"/>
      <w:r w:rsidRPr="00532D09">
        <w:rPr>
          <w:rFonts w:ascii="Arial" w:hAnsi="Arial" w:cs="Arial"/>
          <w:sz w:val="24"/>
          <w:szCs w:val="24"/>
        </w:rPr>
        <w:t xml:space="preserve">6. При изменении сроков вакцинации ее проводят по предусмотренным национальным календарем профилактических прививок схемам и в соответствии с </w:t>
      </w:r>
      <w:r w:rsidRPr="00532D09">
        <w:rPr>
          <w:rFonts w:ascii="Arial" w:hAnsi="Arial" w:cs="Arial"/>
          <w:sz w:val="24"/>
          <w:szCs w:val="24"/>
        </w:rPr>
        <w:lastRenderedPageBreak/>
        <w:t>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107"/>
      <w:bookmarkEnd w:id="18"/>
      <w:r w:rsidRPr="00532D09">
        <w:rPr>
          <w:rFonts w:ascii="Arial" w:hAnsi="Arial" w:cs="Arial"/>
          <w:sz w:val="24"/>
          <w:szCs w:val="24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532D09">
        <w:rPr>
          <w:rFonts w:ascii="Arial" w:hAnsi="Arial" w:cs="Arial"/>
          <w:sz w:val="24"/>
          <w:szCs w:val="24"/>
        </w:rPr>
        <w:t>в первые</w:t>
      </w:r>
      <w:proofErr w:type="gramEnd"/>
      <w:r w:rsidRPr="00532D09">
        <w:rPr>
          <w:rFonts w:ascii="Arial" w:hAnsi="Arial" w:cs="Arial"/>
          <w:sz w:val="24"/>
          <w:szCs w:val="24"/>
        </w:rPr>
        <w:t xml:space="preserve"> 6 месяцев жизни, проводится двукратно с интервалом между прививками не менее 2 месяцев.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108"/>
      <w:bookmarkEnd w:id="19"/>
      <w:r w:rsidRPr="00532D09">
        <w:rPr>
          <w:rFonts w:ascii="Arial" w:hAnsi="Arial" w:cs="Arial"/>
          <w:sz w:val="24"/>
          <w:szCs w:val="24"/>
        </w:rP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109"/>
      <w:bookmarkEnd w:id="20"/>
      <w:r w:rsidRPr="00532D09">
        <w:rPr>
          <w:rFonts w:ascii="Arial" w:hAnsi="Arial" w:cs="Arial"/>
          <w:sz w:val="24"/>
          <w:szCs w:val="24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532D09">
        <w:rPr>
          <w:rFonts w:ascii="Arial" w:hAnsi="Arial" w:cs="Arial"/>
          <w:sz w:val="24"/>
          <w:szCs w:val="24"/>
        </w:rPr>
        <w:t>трехэтапную</w:t>
      </w:r>
      <w:proofErr w:type="gramEnd"/>
      <w:r w:rsidRPr="00532D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2D09">
        <w:rPr>
          <w:rFonts w:ascii="Arial" w:hAnsi="Arial" w:cs="Arial"/>
          <w:sz w:val="24"/>
          <w:szCs w:val="24"/>
        </w:rPr>
        <w:t>химиопрофилактику</w:t>
      </w:r>
      <w:proofErr w:type="spellEnd"/>
      <w:r w:rsidRPr="00532D09">
        <w:rPr>
          <w:rFonts w:ascii="Arial" w:hAnsi="Arial" w:cs="Arial"/>
          <w:sz w:val="24"/>
          <w:szCs w:val="24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110"/>
      <w:bookmarkEnd w:id="21"/>
      <w:r w:rsidRPr="00532D09">
        <w:rPr>
          <w:rFonts w:ascii="Arial" w:hAnsi="Arial" w:cs="Arial"/>
          <w:sz w:val="24"/>
          <w:szCs w:val="24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111"/>
      <w:bookmarkEnd w:id="22"/>
      <w:r w:rsidRPr="00532D09">
        <w:rPr>
          <w:rFonts w:ascii="Arial" w:hAnsi="Arial" w:cs="Arial"/>
          <w:sz w:val="24"/>
          <w:szCs w:val="24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112"/>
      <w:bookmarkEnd w:id="23"/>
      <w:r w:rsidRPr="00532D09">
        <w:rPr>
          <w:rFonts w:ascii="Arial" w:hAnsi="Arial" w:cs="Arial"/>
          <w:sz w:val="24"/>
          <w:szCs w:val="24"/>
        </w:rPr>
        <w:t xml:space="preserve">12. Анатоксины, убитые и </w:t>
      </w:r>
      <w:proofErr w:type="spellStart"/>
      <w:r w:rsidRPr="00532D09">
        <w:rPr>
          <w:rFonts w:ascii="Arial" w:hAnsi="Arial" w:cs="Arial"/>
          <w:sz w:val="24"/>
          <w:szCs w:val="24"/>
        </w:rPr>
        <w:t>рекомбинантные</w:t>
      </w:r>
      <w:proofErr w:type="spellEnd"/>
      <w:r w:rsidRPr="00532D09">
        <w:rPr>
          <w:rFonts w:ascii="Arial" w:hAnsi="Arial" w:cs="Arial"/>
          <w:sz w:val="24"/>
          <w:szCs w:val="24"/>
        </w:rPr>
        <w:t xml:space="preserve">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113"/>
      <w:bookmarkEnd w:id="24"/>
      <w:r w:rsidRPr="00532D09">
        <w:rPr>
          <w:rFonts w:ascii="Arial" w:hAnsi="Arial" w:cs="Arial"/>
          <w:sz w:val="24"/>
          <w:szCs w:val="24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114"/>
      <w:bookmarkEnd w:id="25"/>
      <w:r w:rsidRPr="00532D09">
        <w:rPr>
          <w:rFonts w:ascii="Arial" w:hAnsi="Arial" w:cs="Arial"/>
          <w:sz w:val="24"/>
          <w:szCs w:val="24"/>
        </w:rPr>
        <w:t>14. При проведении вакцинации против гепатита</w:t>
      </w:r>
      <w:proofErr w:type="gramStart"/>
      <w:r w:rsidRPr="00532D0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532D09">
        <w:rPr>
          <w:rFonts w:ascii="Arial" w:hAnsi="Arial" w:cs="Arial"/>
          <w:sz w:val="24"/>
          <w:szCs w:val="24"/>
        </w:rPr>
        <w:t xml:space="preserve">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bookmarkEnd w:id="26"/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2D09">
        <w:rPr>
          <w:rFonts w:ascii="Courier New" w:hAnsi="Courier New" w:cs="Courier New"/>
        </w:rPr>
        <w:t>______________________________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1111"/>
      <w:r w:rsidRPr="00532D09">
        <w:rPr>
          <w:rFonts w:ascii="Arial" w:hAnsi="Arial" w:cs="Arial"/>
          <w:sz w:val="24"/>
          <w:szCs w:val="24"/>
        </w:rPr>
        <w:t>* Собрание законодательства Российской Федерации, 2012, N 26, ст. 3442; N 26, ст. 3446; 2013, N 27, ст. 3459; N 27, ст. 3477; N 30, ст. 4038; N 39, ст. 4883; N 48, ст. 6165; N 52, ст. 6951.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2222"/>
      <w:bookmarkEnd w:id="27"/>
      <w:proofErr w:type="gramStart"/>
      <w:r w:rsidRPr="00532D09">
        <w:rPr>
          <w:rFonts w:ascii="Arial" w:hAnsi="Arial" w:cs="Arial"/>
          <w:sz w:val="24"/>
          <w:szCs w:val="24"/>
        </w:rPr>
        <w:t xml:space="preserve">** </w:t>
      </w:r>
      <w:hyperlink r:id="rId11" w:history="1">
        <w:r w:rsidRPr="00532D09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532D09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</w:t>
      </w:r>
      <w:r w:rsidRPr="00532D09">
        <w:rPr>
          <w:rFonts w:ascii="Arial" w:hAnsi="Arial" w:cs="Arial"/>
          <w:sz w:val="24"/>
          <w:szCs w:val="24"/>
        </w:rPr>
        <w:lastRenderedPageBreak/>
        <w:t>помощи пациенту в период наблюдения за ним и его лечения, в том числе по назначению и применению</w:t>
      </w:r>
      <w:proofErr w:type="gramEnd"/>
      <w:r w:rsidRPr="00532D09">
        <w:rPr>
          <w:rFonts w:ascii="Arial" w:hAnsi="Arial" w:cs="Arial"/>
          <w:sz w:val="24"/>
          <w:szCs w:val="24"/>
        </w:rPr>
        <w:t xml:space="preserve">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 г., регистрационный номер N 23971).</w:t>
      </w:r>
    </w:p>
    <w:bookmarkEnd w:id="28"/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9" w:name="sub_2000"/>
      <w:r w:rsidRPr="00532D09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532D0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532D09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532D09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здравоохранения РФ</w:t>
      </w:r>
      <w:r w:rsidRPr="00532D09">
        <w:rPr>
          <w:rFonts w:ascii="Arial" w:hAnsi="Arial" w:cs="Arial"/>
          <w:b/>
          <w:bCs/>
          <w:color w:val="26282F"/>
          <w:sz w:val="24"/>
          <w:szCs w:val="24"/>
        </w:rPr>
        <w:br/>
        <w:t>от 21 марта 2014 г. N 125н</w:t>
      </w:r>
    </w:p>
    <w:bookmarkEnd w:id="29"/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32D09">
        <w:rPr>
          <w:rFonts w:ascii="Arial" w:hAnsi="Arial" w:cs="Arial"/>
          <w:b/>
          <w:bCs/>
          <w:color w:val="26282F"/>
          <w:sz w:val="24"/>
          <w:szCs w:val="24"/>
        </w:rPr>
        <w:t>Календарь профилактических прививок по эпидемическим показаниям</w:t>
      </w:r>
    </w:p>
    <w:p w:rsidR="00532D09" w:rsidRPr="00532D09" w:rsidRDefault="00532D09" w:rsidP="00532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32D09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532D09" w:rsidRPr="00532D09" w:rsidRDefault="00532D09" w:rsidP="00532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30" w:name="sub_499750540"/>
      <w:r w:rsidRPr="00532D09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2" w:history="1">
        <w:r w:rsidRPr="00532D09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Порядок</w:t>
        </w:r>
      </w:hyperlink>
      <w:r w:rsidRPr="00532D09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проведения профилактических прививок по эпидемическим показаниям, приведенный в Методических указаниях </w:t>
      </w:r>
      <w:hyperlink r:id="rId13" w:history="1">
        <w:r w:rsidRPr="00532D09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МУ 3.3.1889-04</w:t>
        </w:r>
      </w:hyperlink>
      <w:r w:rsidRPr="00532D09">
        <w:rPr>
          <w:rFonts w:ascii="Arial" w:hAnsi="Arial" w:cs="Arial"/>
          <w:color w:val="353842"/>
          <w:sz w:val="24"/>
          <w:szCs w:val="24"/>
          <w:shd w:val="clear" w:color="auto" w:fill="F0F0F0"/>
        </w:rPr>
        <w:t>, утвержденных Главным государственным санитарным врачом РФ 4 марта 2004 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6"/>
        <w:gridCol w:w="7218"/>
      </w:tblGrid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0"/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Наименование профилактической прививки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Категории граждан, подлежащих обязательной вакцинации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туляремии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дератизационные</w:t>
            </w:r>
            <w:proofErr w:type="spellEnd"/>
            <w:proofErr w:type="gramEnd"/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и дезинсекционные;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работающие с живыми культурами возбудителя туляремии.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чумы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бруцеллеза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 очагах козье-овечьего типа бруцеллеза лица, выполняющие следующие работы: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- по убою скота, больного бруцеллезом, заготовке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и переработке полученных от него мяса и мясопродуктов.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Животноводы, ветеринарные работники, зоотехники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 хозяйствах, энзоотичных по бруцеллезу.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работающие с живыми культурами возбудителя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бруцеллеза.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сибирской язвы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выполняющие следующие работы: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зооветработники</w:t>
            </w:r>
            <w:proofErr w:type="spellEnd"/>
            <w:r w:rsidRPr="00532D09">
              <w:rPr>
                <w:rFonts w:ascii="Arial" w:hAnsi="Arial" w:cs="Arial"/>
                <w:sz w:val="24"/>
                <w:szCs w:val="24"/>
              </w:rPr>
              <w:t xml:space="preserve"> и другие лица, профессионально занятые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предубойным</w:t>
            </w:r>
            <w:proofErr w:type="spellEnd"/>
            <w:r w:rsidRPr="00532D09">
              <w:rPr>
                <w:rFonts w:ascii="Arial" w:hAnsi="Arial" w:cs="Arial"/>
                <w:sz w:val="24"/>
                <w:szCs w:val="24"/>
              </w:rPr>
              <w:t xml:space="preserve"> содержанием скота, а также убоем, снятием шкур и разделкой туш;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- сбор, хранение, транспортировка и первичная обработка сырья животного происхождения;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lastRenderedPageBreak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lastRenderedPageBreak/>
              <w:t>Против бешенства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С профилактической целью вакцинируют лиц, имеющих высокий риск заражения бешенством: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работающие с "уличным" вирусом бешенства;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ветеринарные работники; егеря, охотники, лесники;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выполняющие работы по отлову и содержанию животных.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лептоспироза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выполняющие следующие работы: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- по отлову и содержанию безнадзорных животных.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работающие с живыми культурами возбудителя лептоспироза.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клещевого вирусного энцефалита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Лица, проживающие на эндемичных по клещевому вирусному энцефалиту территориях; лица, выезжающие на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эндемичные</w:t>
            </w:r>
            <w:proofErr w:type="spellEnd"/>
            <w:r w:rsidRPr="00532D09">
              <w:rPr>
                <w:rFonts w:ascii="Arial" w:hAnsi="Arial" w:cs="Arial"/>
                <w:sz w:val="24"/>
                <w:szCs w:val="24"/>
              </w:rPr>
              <w:t xml:space="preserve">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дератизационные</w:t>
            </w:r>
            <w:proofErr w:type="spellEnd"/>
            <w:r w:rsidRPr="00532D09">
              <w:rPr>
                <w:rFonts w:ascii="Arial" w:hAnsi="Arial" w:cs="Arial"/>
                <w:sz w:val="24"/>
                <w:szCs w:val="24"/>
              </w:rPr>
              <w:t xml:space="preserve"> и дезинсекционные;</w:t>
            </w:r>
            <w:proofErr w:type="gramEnd"/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работающие с живыми культурами возбудителя клещевого энцефалита.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Против лихорадки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Ку</w:t>
            </w:r>
            <w:proofErr w:type="spellEnd"/>
            <w:r w:rsidRPr="00532D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Ку</w:t>
            </w:r>
            <w:proofErr w:type="spellEnd"/>
            <w:r w:rsidRPr="00532D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Лица, работающие с живыми культурами возбудителей лихорадки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Ку</w:t>
            </w:r>
            <w:proofErr w:type="spellEnd"/>
            <w:r w:rsidRPr="00532D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желтой лихорадки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работающие с живыми культурами возбудителя желтой лихорадки.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холеры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Лица, выезжающие в неблагополучные по холере страны </w:t>
            </w:r>
            <w:r w:rsidRPr="00532D09">
              <w:rPr>
                <w:rFonts w:ascii="Arial" w:hAnsi="Arial" w:cs="Arial"/>
                <w:sz w:val="24"/>
                <w:szCs w:val="24"/>
              </w:rPr>
              <w:lastRenderedPageBreak/>
              <w:t>(регионы).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lastRenderedPageBreak/>
              <w:t>Против брюшного тифа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работающие с живыми культурами возбудителей брюшного тифа.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Население, проживающее на территориях с хроническими водными эпидемиями брюшного тифа.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Лица, выезжающие в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гиперэндемичные</w:t>
            </w:r>
            <w:proofErr w:type="spellEnd"/>
            <w:r w:rsidRPr="00532D09">
              <w:rPr>
                <w:rFonts w:ascii="Arial" w:hAnsi="Arial" w:cs="Arial"/>
                <w:sz w:val="24"/>
                <w:szCs w:val="24"/>
              </w:rPr>
              <w:t xml:space="preserve"> по брюшному тифу страны (регионы).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Контактные лица в очагах брюшного тифа по эпидемическим показаниям.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вирусного гепатита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проживающие в регионах, неблагополучных по заболеваемости гепатитом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t>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выезжающие в неблагополучные страны (регионы), где регистрируется вспышечная заболеваемость гепатитом А. Контактные лица в очагах гепатита А.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шигеллезов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Работники медицинских организаций (их структурных подразделений) инфекционного профиля.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занятые в сфере общественного питания и коммунального благоустройства.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шигеллезами</w:t>
            </w:r>
            <w:proofErr w:type="spellEnd"/>
            <w:r w:rsidRPr="00532D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lastRenderedPageBreak/>
              <w:t>менингококковой инфекции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lastRenderedPageBreak/>
              <w:t xml:space="preserve">Дети и взрослые в очагах менингококковой инфекции, </w:t>
            </w:r>
            <w:r w:rsidRPr="00532D09">
              <w:rPr>
                <w:rFonts w:ascii="Arial" w:hAnsi="Arial" w:cs="Arial"/>
                <w:sz w:val="24"/>
                <w:szCs w:val="24"/>
              </w:rPr>
              <w:lastRenderedPageBreak/>
              <w:t>вызванной менингококками серогрупп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t xml:space="preserve"> или С.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Вакцинация проводится в эндемичных регионах, а также в случае эпидемии, вызванной менингококками серогрупп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t xml:space="preserve"> или С.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подлежащие призыву на военную службу.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lastRenderedPageBreak/>
              <w:t>Против кори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вирусного гепатита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дифтерии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эпидемического паротита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полиомиелита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Контактные лица в очагах полиомиелита, в том числе вызванного 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>диким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t xml:space="preserve"> полиовирусом (или при подозрении на заболевание):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- дети с 3 месяцев до 18 лет - однократно;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- медицинские работники - однократно;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 лица, контактировавшие с </w:t>
            </w:r>
            <w:proofErr w:type="gramStart"/>
            <w:r w:rsidRPr="00532D09">
              <w:rPr>
                <w:rFonts w:ascii="Arial" w:hAnsi="Arial" w:cs="Arial"/>
                <w:sz w:val="24"/>
                <w:szCs w:val="24"/>
              </w:rPr>
              <w:t>прибывшими</w:t>
            </w:r>
            <w:proofErr w:type="gramEnd"/>
            <w:r w:rsidRPr="00532D09">
              <w:rPr>
                <w:rFonts w:ascii="Arial" w:hAnsi="Arial" w:cs="Arial"/>
                <w:sz w:val="24"/>
                <w:szCs w:val="24"/>
              </w:rPr>
              <w:t xml:space="preserve">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лица, работающие с живым полиовирусом, с материалами, инфицированными (потенциально инфицированными) диким вирусом полиомиелита без ограничения возраста, - однократно при приеме на работу.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пневмококковой инфекции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в возрасте от 2 до 5 лет, взрослые из групп риска, включая лиц, подлежащих призыву на военную службу.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ротавирусной инфекции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532D09">
              <w:rPr>
                <w:rFonts w:ascii="Arial" w:hAnsi="Arial" w:cs="Arial"/>
                <w:sz w:val="24"/>
                <w:szCs w:val="24"/>
              </w:rPr>
              <w:t>ротавирусами</w:t>
            </w:r>
            <w:proofErr w:type="spellEnd"/>
            <w:r w:rsidRPr="00532D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ветряной оспы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532D09" w:rsidRPr="00532D09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Против гемофильной инфекции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09" w:rsidRPr="00532D09" w:rsidRDefault="00532D09" w:rsidP="0053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D09">
              <w:rPr>
                <w:rFonts w:ascii="Arial" w:hAnsi="Arial" w:cs="Arial"/>
                <w:sz w:val="24"/>
                <w:szCs w:val="24"/>
              </w:rPr>
              <w:t>Дети, не привитые на первом году жизни против гемофильной инфекции.</w:t>
            </w:r>
          </w:p>
        </w:tc>
      </w:tr>
    </w:tbl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1" w:name="sub_2100"/>
      <w:r w:rsidRPr="00532D09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Порядок проведения гражданам профилактических прививок в рамках календаря профилактических прививок по эпидемическим показаниям</w:t>
      </w:r>
    </w:p>
    <w:bookmarkEnd w:id="31"/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101"/>
      <w:r w:rsidRPr="00532D09">
        <w:rPr>
          <w:rFonts w:ascii="Arial" w:hAnsi="Arial" w:cs="Arial"/>
          <w:sz w:val="24"/>
          <w:szCs w:val="24"/>
        </w:rP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102"/>
      <w:bookmarkEnd w:id="32"/>
      <w:r w:rsidRPr="00532D09">
        <w:rPr>
          <w:rFonts w:ascii="Arial" w:hAnsi="Arial" w:cs="Arial"/>
          <w:sz w:val="24"/>
          <w:szCs w:val="24"/>
        </w:rPr>
        <w:t xml:space="preserve">2. Вакцинацию осуществляют медицинские работники, прошедшие </w:t>
      </w:r>
      <w:proofErr w:type="gramStart"/>
      <w:r w:rsidRPr="00532D09">
        <w:rPr>
          <w:rFonts w:ascii="Arial" w:hAnsi="Arial" w:cs="Arial"/>
          <w:sz w:val="24"/>
          <w:szCs w:val="24"/>
        </w:rPr>
        <w:t>обучение по вопросам</w:t>
      </w:r>
      <w:proofErr w:type="gramEnd"/>
      <w:r w:rsidRPr="00532D09">
        <w:rPr>
          <w:rFonts w:ascii="Arial" w:hAnsi="Arial" w:cs="Arial"/>
          <w:sz w:val="24"/>
          <w:szCs w:val="24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103"/>
      <w:bookmarkEnd w:id="33"/>
      <w:r w:rsidRPr="00532D09">
        <w:rPr>
          <w:rFonts w:ascii="Arial" w:hAnsi="Arial" w:cs="Arial"/>
          <w:sz w:val="24"/>
          <w:szCs w:val="24"/>
        </w:rP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104"/>
      <w:bookmarkEnd w:id="34"/>
      <w:r w:rsidRPr="00532D0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32D09">
        <w:rPr>
          <w:rFonts w:ascii="Arial" w:hAnsi="Arial" w:cs="Arial"/>
          <w:sz w:val="24"/>
          <w:szCs w:val="24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532D09">
        <w:rPr>
          <w:rFonts w:ascii="Arial" w:hAnsi="Arial" w:cs="Arial"/>
          <w:sz w:val="24"/>
          <w:szCs w:val="24"/>
        </w:rPr>
        <w:t>поствакцинальные</w:t>
      </w:r>
      <w:proofErr w:type="spellEnd"/>
      <w:r w:rsidRPr="00532D09">
        <w:rPr>
          <w:rFonts w:ascii="Arial" w:hAnsi="Arial" w:cs="Arial"/>
          <w:sz w:val="24"/>
          <w:szCs w:val="24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4" w:history="1">
        <w:r w:rsidRPr="00532D09">
          <w:rPr>
            <w:rFonts w:ascii="Arial" w:hAnsi="Arial" w:cs="Arial"/>
            <w:color w:val="106BBE"/>
            <w:sz w:val="24"/>
            <w:szCs w:val="24"/>
          </w:rPr>
          <w:t>статьи 20</w:t>
        </w:r>
      </w:hyperlink>
      <w:r w:rsidRPr="00532D09">
        <w:rPr>
          <w:rFonts w:ascii="Arial" w:hAnsi="Arial" w:cs="Arial"/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</w:t>
      </w:r>
      <w:proofErr w:type="gramEnd"/>
      <w:r w:rsidRPr="00532D09">
        <w:rPr>
          <w:rFonts w:ascii="Arial" w:hAnsi="Arial" w:cs="Arial"/>
          <w:sz w:val="24"/>
          <w:szCs w:val="24"/>
        </w:rPr>
        <w:t>".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105"/>
      <w:bookmarkEnd w:id="35"/>
      <w:r w:rsidRPr="00532D09">
        <w:rPr>
          <w:rFonts w:ascii="Arial" w:hAnsi="Arial" w:cs="Arial"/>
          <w:sz w:val="24"/>
          <w:szCs w:val="24"/>
        </w:rPr>
        <w:t>5. Все лица, которым должны проводиться профилактические прививки, предварительно подвергаются осмотру врачом (фельдшером)</w:t>
      </w:r>
      <w:hyperlink w:anchor="sub_22223" w:history="1">
        <w:r w:rsidRPr="00532D09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532D09">
        <w:rPr>
          <w:rFonts w:ascii="Arial" w:hAnsi="Arial" w:cs="Arial"/>
          <w:sz w:val="24"/>
          <w:szCs w:val="24"/>
        </w:rPr>
        <w:t>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106"/>
      <w:bookmarkEnd w:id="36"/>
      <w:r w:rsidRPr="00532D09">
        <w:rPr>
          <w:rFonts w:ascii="Arial" w:hAnsi="Arial" w:cs="Arial"/>
          <w:sz w:val="24"/>
          <w:szCs w:val="24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107"/>
      <w:bookmarkEnd w:id="37"/>
      <w:r w:rsidRPr="00532D09">
        <w:rPr>
          <w:rFonts w:ascii="Arial" w:hAnsi="Arial" w:cs="Arial"/>
          <w:sz w:val="24"/>
          <w:szCs w:val="24"/>
        </w:rPr>
        <w:t xml:space="preserve">7. Вакцинация против полиомиелита по эпидемическим показаниям проводится оральной полиомиелитной вакциной. Показаниями для проведения вакцинации детей оральной полиомиелитной вакциной по эпидемическим показаниям являются регистрация случая полиомиелита, вызванного диким полиовирусом, выделение дикого </w:t>
      </w:r>
      <w:proofErr w:type="spellStart"/>
      <w:r w:rsidRPr="00532D09">
        <w:rPr>
          <w:rFonts w:ascii="Arial" w:hAnsi="Arial" w:cs="Arial"/>
          <w:sz w:val="24"/>
          <w:szCs w:val="24"/>
        </w:rPr>
        <w:t>полиовируса</w:t>
      </w:r>
      <w:proofErr w:type="spellEnd"/>
      <w:r w:rsidRPr="00532D0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32D09">
        <w:rPr>
          <w:rFonts w:ascii="Arial" w:hAnsi="Arial" w:cs="Arial"/>
          <w:sz w:val="24"/>
          <w:szCs w:val="24"/>
        </w:rPr>
        <w:t>биопробах</w:t>
      </w:r>
      <w:proofErr w:type="spellEnd"/>
      <w:r w:rsidRPr="00532D09">
        <w:rPr>
          <w:rFonts w:ascii="Arial" w:hAnsi="Arial" w:cs="Arial"/>
          <w:sz w:val="24"/>
          <w:szCs w:val="24"/>
        </w:rPr>
        <w:t xml:space="preserve"> человека или из объектов окружающей среды. В этих случаях вакцинация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bookmarkEnd w:id="38"/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2D09">
        <w:rPr>
          <w:rFonts w:ascii="Arial" w:hAnsi="Arial" w:cs="Arial"/>
          <w:sz w:val="24"/>
          <w:szCs w:val="24"/>
        </w:rPr>
        <w:t>_____________________________</w:t>
      </w:r>
    </w:p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2223"/>
      <w:proofErr w:type="gramStart"/>
      <w:r w:rsidRPr="00532D09">
        <w:rPr>
          <w:rFonts w:ascii="Arial" w:hAnsi="Arial" w:cs="Arial"/>
          <w:sz w:val="24"/>
          <w:szCs w:val="24"/>
        </w:rPr>
        <w:t xml:space="preserve">* </w:t>
      </w:r>
      <w:hyperlink r:id="rId15" w:history="1">
        <w:r w:rsidRPr="00532D09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532D09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</w:r>
      <w:proofErr w:type="gramEnd"/>
      <w:r w:rsidRPr="00532D09">
        <w:rPr>
          <w:rFonts w:ascii="Arial" w:hAnsi="Arial" w:cs="Arial"/>
          <w:sz w:val="24"/>
          <w:szCs w:val="24"/>
        </w:rPr>
        <w:t xml:space="preserve"> лекарственных препаратов, включая наркотические лекарственные препараты и психотропные лекарственные препараты" </w:t>
      </w:r>
      <w:r w:rsidRPr="00532D09">
        <w:rPr>
          <w:rFonts w:ascii="Arial" w:hAnsi="Arial" w:cs="Arial"/>
          <w:sz w:val="24"/>
          <w:szCs w:val="24"/>
        </w:rPr>
        <w:lastRenderedPageBreak/>
        <w:t>(зарегистрирован Министерством юстиции Российской Федерации 28 апреля 2012 г., регистрационный номер 23971).</w:t>
      </w:r>
    </w:p>
    <w:bookmarkEnd w:id="39"/>
    <w:p w:rsidR="00532D09" w:rsidRPr="00532D09" w:rsidRDefault="00532D09" w:rsidP="00532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18A0" w:rsidRDefault="003418A0"/>
    <w:sectPr w:rsidR="003418A0" w:rsidSect="00CA68F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299"/>
  <w:displayHorizontalDrawingGridEvery w:val="0"/>
  <w:characterSpacingControl w:val="doNotCompress"/>
  <w:compat/>
  <w:rsids>
    <w:rsidRoot w:val="00532D09"/>
    <w:rsid w:val="00010718"/>
    <w:rsid w:val="00036EB4"/>
    <w:rsid w:val="000863EE"/>
    <w:rsid w:val="000A6583"/>
    <w:rsid w:val="000C231E"/>
    <w:rsid w:val="001D45B4"/>
    <w:rsid w:val="00260017"/>
    <w:rsid w:val="002A4781"/>
    <w:rsid w:val="002F7002"/>
    <w:rsid w:val="00317284"/>
    <w:rsid w:val="003418A0"/>
    <w:rsid w:val="00390DAA"/>
    <w:rsid w:val="00391101"/>
    <w:rsid w:val="003B2FF7"/>
    <w:rsid w:val="00401B11"/>
    <w:rsid w:val="00420870"/>
    <w:rsid w:val="00511015"/>
    <w:rsid w:val="00532D09"/>
    <w:rsid w:val="005C037B"/>
    <w:rsid w:val="00622C54"/>
    <w:rsid w:val="0067610C"/>
    <w:rsid w:val="00677BD2"/>
    <w:rsid w:val="006B584B"/>
    <w:rsid w:val="00724F01"/>
    <w:rsid w:val="00740EE0"/>
    <w:rsid w:val="00751A5E"/>
    <w:rsid w:val="007629F0"/>
    <w:rsid w:val="007B0BF2"/>
    <w:rsid w:val="007C208E"/>
    <w:rsid w:val="00802B33"/>
    <w:rsid w:val="0080632C"/>
    <w:rsid w:val="00885E1E"/>
    <w:rsid w:val="008F50BC"/>
    <w:rsid w:val="00910DF5"/>
    <w:rsid w:val="009947FB"/>
    <w:rsid w:val="009C31D4"/>
    <w:rsid w:val="00A14705"/>
    <w:rsid w:val="00A2754D"/>
    <w:rsid w:val="00AD2DA2"/>
    <w:rsid w:val="00B17A6A"/>
    <w:rsid w:val="00B7102C"/>
    <w:rsid w:val="00C6312C"/>
    <w:rsid w:val="00D27A1F"/>
    <w:rsid w:val="00E57F7C"/>
    <w:rsid w:val="00FD0B54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0"/>
  </w:style>
  <w:style w:type="paragraph" w:styleId="1">
    <w:name w:val="heading 1"/>
    <w:basedOn w:val="a"/>
    <w:next w:val="a"/>
    <w:link w:val="10"/>
    <w:uiPriority w:val="99"/>
    <w:qFormat/>
    <w:rsid w:val="00532D0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2D0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32D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32D0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32D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532D0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532D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32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8356.0" TargetMode="External"/><Relationship Id="rId13" Type="http://schemas.openxmlformats.org/officeDocument/2006/relationships/hyperlink" Target="garantF1://408078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080785.0" TargetMode="External"/><Relationship Id="rId12" Type="http://schemas.openxmlformats.org/officeDocument/2006/relationships/hyperlink" Target="garantF1://4080785.9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4080785.800" TargetMode="External"/><Relationship Id="rId11" Type="http://schemas.openxmlformats.org/officeDocument/2006/relationships/hyperlink" Target="garantF1://70070588.0" TargetMode="External"/><Relationship Id="rId5" Type="http://schemas.openxmlformats.org/officeDocument/2006/relationships/hyperlink" Target="garantF1://12013020.10" TargetMode="External"/><Relationship Id="rId15" Type="http://schemas.openxmlformats.org/officeDocument/2006/relationships/hyperlink" Target="garantF1://70070588.0" TargetMode="External"/><Relationship Id="rId10" Type="http://schemas.openxmlformats.org/officeDocument/2006/relationships/hyperlink" Target="garantF1://12091967.20" TargetMode="External"/><Relationship Id="rId4" Type="http://schemas.openxmlformats.org/officeDocument/2006/relationships/hyperlink" Target="garantF1://12013020.9" TargetMode="External"/><Relationship Id="rId9" Type="http://schemas.openxmlformats.org/officeDocument/2006/relationships/hyperlink" Target="garantF1://12074909.600" TargetMode="External"/><Relationship Id="rId14" Type="http://schemas.openxmlformats.org/officeDocument/2006/relationships/hyperlink" Target="garantF1://12091967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3867</Words>
  <Characters>22042</Characters>
  <Application>Microsoft Office Word</Application>
  <DocSecurity>0</DocSecurity>
  <Lines>183</Lines>
  <Paragraphs>51</Paragraphs>
  <ScaleCrop>false</ScaleCrop>
  <Company>Microsoft</Company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2015-06-01T04:42:00Z</dcterms:created>
  <dcterms:modified xsi:type="dcterms:W3CDTF">2015-06-01T04:43:00Z</dcterms:modified>
</cp:coreProperties>
</file>